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ТИПОВОЙ ПРОЕКТ ДИЗАЙНА И ЗОНИРОВАНИЯ</w:t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помещений центров образования естественно-научной и технологической направленностей «Точка роста», планируемых к созданию в Республике Хакасия в 202</w:t>
      </w:r>
      <w:r w:rsidR="00F522D7">
        <w:rPr>
          <w:rFonts w:ascii="Times New Roman" w:eastAsia="Liberation Serif" w:hAnsi="Times New Roman" w:cs="Times New Roman"/>
          <w:b/>
          <w:sz w:val="28"/>
        </w:rPr>
        <w:t>4</w:t>
      </w:r>
      <w:r w:rsidRPr="00F356A1">
        <w:rPr>
          <w:rFonts w:ascii="Times New Roman" w:eastAsia="Liberation Serif" w:hAnsi="Times New Roman" w:cs="Times New Roman"/>
          <w:b/>
          <w:sz w:val="28"/>
        </w:rPr>
        <w:t xml:space="preserve"> году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1. Общие положения</w:t>
      </w:r>
    </w:p>
    <w:p w:rsidR="00560B37" w:rsidRPr="00F356A1" w:rsidRDefault="00560B37">
      <w:pPr>
        <w:pStyle w:val="Pa0"/>
        <w:rPr>
          <w:rFonts w:ascii="Times New Roman" w:hAnsi="Times New Roman" w:cs="Times New Roman"/>
        </w:rPr>
      </w:pPr>
    </w:p>
    <w:p w:rsidR="00560B37" w:rsidRPr="00F356A1" w:rsidRDefault="005524C4">
      <w:pPr>
        <w:pStyle w:val="Pa0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Типовой проект дизайна и зонирования помещений центров образования естественно-научной и технологической направленностей «Точка роста» (далее – центры «Точка роста»), планируемых к созданию в Республике Хакасияв 202</w:t>
      </w:r>
      <w:r w:rsidR="00F356A1" w:rsidRPr="00F356A1">
        <w:rPr>
          <w:rFonts w:ascii="Times New Roman" w:eastAsia="Liberation Serif" w:hAnsi="Times New Roman" w:cs="Times New Roman"/>
          <w:color w:val="000000"/>
          <w:sz w:val="28"/>
        </w:rPr>
        <w:t>3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 году (далее – типовой проект дизайна и зонирования), сформированв соответствии с руководством по проектированию и дизайну образовательного пространства и руководством по фирменному стилю, разработанными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для использования центрами «Точка роста».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Центры «Точка роста» представляют собой совокупность учебных помещений для реализации основных и дополнительных общеобразовательных программ, в которых размещено оборудование естественно-научнойи технологической направленностей (для проведения лабораторных и практических занятий естественно-научной и технологической направленностей), а также при возможности создания функциональны</w:t>
      </w:r>
      <w:r w:rsidR="007D0659">
        <w:rPr>
          <w:rFonts w:ascii="Times New Roman" w:eastAsia="Liberation Serif" w:hAnsi="Times New Roman" w:cs="Times New Roman"/>
          <w:sz w:val="28"/>
        </w:rPr>
        <w:t>х</w:t>
      </w:r>
      <w:r w:rsidRPr="00F356A1">
        <w:rPr>
          <w:rFonts w:ascii="Times New Roman" w:eastAsia="Liberation Serif" w:hAnsi="Times New Roman" w:cs="Times New Roman"/>
          <w:sz w:val="28"/>
        </w:rPr>
        <w:t xml:space="preserve"> зон для организации проектной деятельности и групповой работы.</w:t>
      </w:r>
    </w:p>
    <w:p w:rsidR="00560B37" w:rsidRPr="00F356A1" w:rsidRDefault="005524C4">
      <w:pPr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Центр «Точка роста» включает лабораторию по следующим направленностям: физическая, химическая и биологическая.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Лаборатории центра «Точка роста» должны быть расположены</w:t>
      </w:r>
      <w:r w:rsidRPr="00F356A1">
        <w:rPr>
          <w:rFonts w:ascii="Times New Roman" w:eastAsia="Liberation Serif" w:hAnsi="Times New Roman" w:cs="Times New Roman"/>
          <w:sz w:val="28"/>
        </w:rPr>
        <w:br/>
        <w:t>в пределах одного здания. Требования к минимальной площади помещений лабораторийцентра «Точка роста» не устанавливаются. Итоговые центры «Точка роста» в разных школах могут отличаться от типового проекта.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Размещение вывесок с фирменным знаком «Точка роста» на фасаде здания общеобразовательной организации, на базе которой создается центр «Точка роста», не предусмотрено.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2. Физическая лаборатория</w:t>
      </w:r>
    </w:p>
    <w:p w:rsidR="00560B37" w:rsidRPr="00F356A1" w:rsidRDefault="00560B37">
      <w:pPr>
        <w:pStyle w:val="a3"/>
        <w:rPr>
          <w:rFonts w:ascii="Times New Roman" w:hAnsi="Times New Roman" w:cs="Times New Roman"/>
        </w:rPr>
      </w:pPr>
    </w:p>
    <w:p w:rsidR="00560B37" w:rsidRPr="004F2404" w:rsidRDefault="005524C4">
      <w:pPr>
        <w:rPr>
          <w:rFonts w:ascii="Times New Roman" w:hAnsi="Times New Roman" w:cs="Times New Roman"/>
          <w:b/>
        </w:rPr>
      </w:pPr>
      <w:r w:rsidRPr="004F2404">
        <w:rPr>
          <w:rFonts w:ascii="Times New Roman" w:eastAsia="Liberation Serif" w:hAnsi="Times New Roman" w:cs="Times New Roman"/>
          <w:b/>
          <w:sz w:val="28"/>
        </w:rPr>
        <w:t>Визуализация помещения физической лаборатории:</w:t>
      </w:r>
    </w:p>
    <w:p w:rsidR="00560B37" w:rsidRPr="00F356A1" w:rsidRDefault="005524C4">
      <w:pPr>
        <w:tabs>
          <w:tab w:val="left" w:pos="568"/>
        </w:tabs>
        <w:spacing w:line="241" w:lineRule="auto"/>
        <w:ind w:left="-425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602400" cy="4312800"/>
            <wp:effectExtent l="0" t="0" r="7950" b="0"/>
            <wp:docPr id="1" name="Рисунок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2400" cy="43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353200" cy="4014000"/>
            <wp:effectExtent l="0" t="0" r="0" b="5550"/>
            <wp:docPr id="2" name="Рисунок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200" cy="40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Default="00560B37">
      <w:pPr>
        <w:rPr>
          <w:rFonts w:ascii="Times New Roman" w:hAnsi="Times New Roman" w:cs="Times New Roman"/>
        </w:rPr>
      </w:pPr>
    </w:p>
    <w:p w:rsidR="004C78C6" w:rsidRPr="00F356A1" w:rsidRDefault="004C78C6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Требования к оформлению помещения физической лаборатории:</w:t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Передняя и боковые стены помещения окрашены в белый цвет, задняя стена помещения выделена акцентным цветом – полностью окрашена в пастельно-оранжевый цвет.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884399" cy="2912759"/>
            <wp:effectExtent l="0" t="0" r="1801" b="1891"/>
            <wp:docPr id="3" name="Рисунок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4399" cy="2912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Стена, окрашенная в пастельно-оранжевый акцентный цвет, брендируется стилеобразующим элементом Министерства просвещения Российской Федерации (дерево в белом цвете) и знаком национального проекта «Образование» в виде графики (в белом цвете). Брендирование наносится с помощью настенной наклейки или выкраски по трафарету в один цвет.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В помещении используется либо окрашенный потолок, либо подвесной плиточный потолок,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На окнах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Мебель, размещенная в помещении, должна быть светло-серого цвета,за исключением ученических стульев, выполненных в </w:t>
      </w:r>
      <w:r w:rsidRPr="00F356A1">
        <w:rPr>
          <w:rFonts w:ascii="Times New Roman" w:eastAsia="Liberation Serif" w:hAnsi="Times New Roman" w:cs="Times New Roman"/>
          <w:sz w:val="28"/>
        </w:rPr>
        <w:t>пастельно-оранжевом цвете.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В помещении используется магнитно-маркерная доска или магнитно-маркерная пленка, наклеенная на стену.  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 визуализации помещения физической лаборатории приведены примеры предпочтительного дизайна мебели. Модели и размеры мебели могут быть видоизмененыобщеобразовательной организацией, в том числе исходя</w:t>
      </w:r>
      <w:r w:rsidRPr="00F356A1">
        <w:rPr>
          <w:rFonts w:ascii="Times New Roman" w:eastAsia="Liberation Serif" w:hAnsi="Times New Roman" w:cs="Times New Roman"/>
          <w:sz w:val="28"/>
        </w:rPr>
        <w:br/>
        <w:t xml:space="preserve">из конструктивных особенностей помещения. Цветовая гамма мебели изменению не подлежит. Количество мебели, размещаемой в помещении, может быть увеличено общеобразовательной организацией, в том числе исходя из потребности и конструктивных особенностей </w:t>
      </w:r>
      <w:r w:rsidRPr="00F356A1">
        <w:rPr>
          <w:rFonts w:ascii="Times New Roman" w:eastAsia="Liberation Serif" w:hAnsi="Times New Roman" w:cs="Times New Roman"/>
          <w:sz w:val="28"/>
        </w:rPr>
        <w:lastRenderedPageBreak/>
        <w:t>помещения.</w:t>
      </w:r>
    </w:p>
    <w:p w:rsidR="00560B37" w:rsidRPr="00F356A1" w:rsidRDefault="00560B37" w:rsidP="00F356A1">
      <w:pPr>
        <w:jc w:val="both"/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4F2404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3. Лаборантская физической лаборатории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Обновление помещения лаборантской (в том числе в части замены мебели) осуществляется при наличии помещения,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Визуализация помещениялаборантской физической лаборатории:</w:t>
      </w:r>
    </w:p>
    <w:p w:rsidR="00560B37" w:rsidRPr="00F356A1" w:rsidRDefault="00560B37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5811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482799" cy="2912040"/>
            <wp:effectExtent l="0" t="0" r="3601" b="2610"/>
            <wp:docPr id="4" name="Рисунок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799" cy="291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лаборантской физической лаборатории: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Стены помещения окрашены в белый цвет.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используется либо окрашенный потолок, либо подвесной плиточный потолок,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 окнах</w:t>
      </w:r>
      <w:r w:rsidRPr="00F356A1">
        <w:rPr>
          <w:rStyle w:val="ad"/>
          <w:rFonts w:ascii="Times New Roman" w:eastAsia="Liberation Serif" w:hAnsi="Times New Roman" w:cs="Times New Roman"/>
          <w:sz w:val="28"/>
        </w:rPr>
        <w:footnoteReference w:id="2"/>
      </w:r>
      <w:r w:rsidRPr="00F356A1">
        <w:rPr>
          <w:rFonts w:ascii="Times New Roman" w:eastAsia="Liberation Serif" w:hAnsi="Times New Roman" w:cs="Times New Roman"/>
          <w:sz w:val="28"/>
        </w:rPr>
        <w:t xml:space="preserve">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размещаются с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истемы хранения дляреактивов, лабораторнойпосуды, лабораторного оборудования и методическогоматериала.</w:t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4. План-схема помещения физической лаборатории</w:t>
      </w: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br/>
        <w:t>с лаборантской</w:t>
      </w:r>
    </w:p>
    <w:p w:rsidR="00560B37" w:rsidRPr="00F356A1" w:rsidRDefault="005524C4">
      <w:pPr>
        <w:tabs>
          <w:tab w:val="left" w:pos="990"/>
        </w:tabs>
        <w:spacing w:line="241" w:lineRule="auto"/>
        <w:jc w:val="center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914800" cy="4438800"/>
            <wp:effectExtent l="0" t="0" r="0" b="0"/>
            <wp:docPr id="5" name="Рисунок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4800" cy="443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102000" cy="4575600"/>
            <wp:effectExtent l="0" t="0" r="0" b="0"/>
            <wp:docPr id="6" name="Рисунок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2000" cy="457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lastRenderedPageBreak/>
        <w:t>Раздел 5. Химико-биологическая лаборатория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Химико-биологическая лаборатория размещается на базе кабинетов химии, биологии, может объединиться на базе одного кабинета, так и раздельно.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817600" cy="4053600"/>
            <wp:effectExtent l="0" t="0" r="0" b="4050"/>
            <wp:docPr id="7" name="Рисунок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7600" cy="40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508000" cy="4129200"/>
            <wp:effectExtent l="0" t="0" r="0" b="4650"/>
            <wp:docPr id="8" name="Рисунок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41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химико-биологическая лаборатории:</w:t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Передняя и боковые стены помещения окрашены в белый цвет, задняя стена помещения выделена акцентным цветом – полностью окрашена в травяной зеленый.</w:t>
      </w:r>
    </w:p>
    <w:p w:rsidR="00560B37" w:rsidRPr="00F356A1" w:rsidRDefault="00560B37">
      <w:pPr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4568400" cy="3425760"/>
            <wp:effectExtent l="0" t="0" r="3600" b="3240"/>
            <wp:docPr id="9" name="Рисунок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8400" cy="342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Стена, окрашенная в травяной зеленый акцентный цвет, брендируется знаком национального проекта «Образование» в виде дерева (в белом цвете).Брендирование наносится с помощью настенной наклейки или выкраски по трафарету в один цвет.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В помещении используется либо окрашенный потолок, </w:t>
      </w:r>
      <w:r w:rsidR="00F356A1">
        <w:rPr>
          <w:rFonts w:ascii="Times New Roman" w:eastAsia="Liberation Serif" w:hAnsi="Times New Roman" w:cs="Times New Roman"/>
          <w:color w:val="000000"/>
          <w:sz w:val="28"/>
        </w:rPr>
        <w:t>либо подвесной плиточный потоло</w:t>
      </w:r>
      <w:r w:rsidR="00D675BC">
        <w:rPr>
          <w:rFonts w:ascii="Times New Roman" w:eastAsia="Liberation Serif" w:hAnsi="Times New Roman" w:cs="Times New Roman"/>
          <w:color w:val="000000"/>
          <w:sz w:val="28"/>
        </w:rPr>
        <w:t>к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, либо подвесной гипсокартонный потолок белого цвета.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На окнах используются рулонные белые или светло-серые шторы.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 xml:space="preserve">В помещении используется магнитно-маркерная доска или магнитно-маркерная пленка, наклеенная на стену.  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color w:val="000000"/>
          <w:sz w:val="28"/>
        </w:rPr>
        <w:t>Мебель, размещенная в помещении, должна быть светло-серого цвета</w:t>
      </w:r>
      <w:r w:rsidRPr="00F356A1">
        <w:rPr>
          <w:rFonts w:ascii="Times New Roman" w:eastAsia="Liberation Serif" w:hAnsi="Times New Roman" w:cs="Times New Roman"/>
          <w:sz w:val="28"/>
        </w:rPr>
        <w:t xml:space="preserve">, 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за исключением компьютерных стульев, выполненных в цвете «травяной зеленый»</w:t>
      </w:r>
      <w:r w:rsidRPr="00F356A1">
        <w:rPr>
          <w:rFonts w:ascii="Times New Roman" w:eastAsia="Liberation Serif" w:hAnsi="Times New Roman" w:cs="Times New Roman"/>
          <w:sz w:val="28"/>
        </w:rPr>
        <w:t>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 xml:space="preserve">На визуализации помещения химико-биологической лаборатории приведены примеры предпочтительного дизайна мебели. Модели и размеры мебели могут быть видоизменены общеобразовательной организацией, в том числе исходя из конструктивных особенностей помещения. Цветовая гамма мебели изменению не подлежит. </w:t>
      </w:r>
      <w:r w:rsidRPr="00F356A1">
        <w:rPr>
          <w:rFonts w:ascii="Times New Roman" w:eastAsia="Liberation Serif" w:hAnsi="Times New Roman" w:cs="Times New Roman"/>
          <w:sz w:val="28"/>
        </w:rPr>
        <w:lastRenderedPageBreak/>
        <w:t>Количество мебели, размещаемой в помещении, может быть увеличено общеобразовательной организацией, в том числе исходя из потребности и конструктивных особенностей помещения.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6. Лаборантская химико-биологической лаборатории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Обновление помещения лаборантской (в том числе в части замены мебели) осуществляется при наличии помещения,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E558A3" w:rsidRDefault="00E558A3">
      <w:pPr>
        <w:tabs>
          <w:tab w:val="left" w:pos="992"/>
        </w:tabs>
        <w:spacing w:line="241" w:lineRule="auto"/>
        <w:ind w:firstLine="709"/>
        <w:jc w:val="both"/>
        <w:rPr>
          <w:rFonts w:ascii="Times New Roman" w:eastAsia="Liberation Serif" w:hAnsi="Times New Roman" w:cs="Times New Roman"/>
          <w:b/>
          <w:sz w:val="28"/>
        </w:rPr>
      </w:pPr>
    </w:p>
    <w:p w:rsidR="00E558A3" w:rsidRDefault="00E558A3">
      <w:pPr>
        <w:tabs>
          <w:tab w:val="left" w:pos="992"/>
        </w:tabs>
        <w:spacing w:line="241" w:lineRule="auto"/>
        <w:ind w:firstLine="709"/>
        <w:jc w:val="both"/>
        <w:rPr>
          <w:rFonts w:ascii="Times New Roman" w:eastAsia="Liberation Serif" w:hAnsi="Times New Roman" w:cs="Times New Roman"/>
          <w:b/>
          <w:sz w:val="28"/>
        </w:rPr>
      </w:pP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Визуализация помещениялаборантской химико-биологической лаборатории:</w:t>
      </w:r>
    </w:p>
    <w:p w:rsidR="00560B37" w:rsidRPr="00F356A1" w:rsidRDefault="00560B37">
      <w:pPr>
        <w:tabs>
          <w:tab w:val="left" w:pos="992"/>
        </w:tabs>
        <w:spacing w:line="241" w:lineRule="auto"/>
        <w:ind w:firstLine="709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tabs>
          <w:tab w:val="left" w:pos="992"/>
          <w:tab w:val="left" w:pos="5811"/>
        </w:tabs>
        <w:spacing w:line="241" w:lineRule="auto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300000" cy="3704399"/>
            <wp:effectExtent l="0" t="0" r="5550" b="0"/>
            <wp:docPr id="10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3704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tabs>
          <w:tab w:val="left" w:pos="992"/>
          <w:tab w:val="left" w:pos="8787"/>
        </w:tabs>
        <w:spacing w:line="241" w:lineRule="auto"/>
        <w:jc w:val="both"/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Требования к оформлению помещения лаборантской химико-биологической лаборатории: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Стены помещения окрашены в белый цвет.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По поверхности пола в помещении укладывается однотонное полимерное покрытие или однотонный коммерческий линолеум серого цвета.</w:t>
      </w: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используется либо окрашенный потолок, либо подвесной плиточный потолок со скрытыми направляющими, либо подвесной гипсокартонный потолок белого цвета.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lastRenderedPageBreak/>
        <w:t>На окнах</w:t>
      </w:r>
      <w:r w:rsidRPr="00F356A1">
        <w:rPr>
          <w:rStyle w:val="ad"/>
          <w:rFonts w:ascii="Times New Roman" w:eastAsia="Liberation Serif" w:hAnsi="Times New Roman" w:cs="Times New Roman"/>
          <w:sz w:val="28"/>
        </w:rPr>
        <w:footnoteReference w:id="3"/>
      </w:r>
      <w:r w:rsidRPr="00F356A1">
        <w:rPr>
          <w:rFonts w:ascii="Times New Roman" w:eastAsia="Liberation Serif" w:hAnsi="Times New Roman" w:cs="Times New Roman"/>
          <w:sz w:val="28"/>
        </w:rPr>
        <w:t xml:space="preserve"> используются рулонные белые или светло-серые шторы.</w:t>
      </w:r>
    </w:p>
    <w:p w:rsidR="00560B37" w:rsidRPr="00F356A1" w:rsidRDefault="005524C4" w:rsidP="00F356A1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помещении размещаются с</w:t>
      </w:r>
      <w:r w:rsidRPr="00F356A1">
        <w:rPr>
          <w:rFonts w:ascii="Times New Roman" w:eastAsia="Liberation Serif" w:hAnsi="Times New Roman" w:cs="Times New Roman"/>
          <w:color w:val="000000"/>
          <w:sz w:val="28"/>
        </w:rPr>
        <w:t>истемы хранения дляреактивов, лабораторнойпосуды, лабораторного оборудования и методическогоматериала.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t>Раздел 7. План-схема помещения химико-биологической лаборатории</w:t>
      </w:r>
    </w:p>
    <w:p w:rsidR="00560B37" w:rsidRPr="00F356A1" w:rsidRDefault="005524C4">
      <w:pPr>
        <w:tabs>
          <w:tab w:val="left" w:pos="992"/>
        </w:tabs>
        <w:spacing w:line="241" w:lineRule="auto"/>
        <w:ind w:firstLine="709"/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color w:val="000000"/>
          <w:sz w:val="28"/>
        </w:rPr>
        <w:br/>
      </w: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6037200" cy="4528800"/>
            <wp:effectExtent l="0" t="0" r="1650" b="5100"/>
            <wp:docPr id="11" name="Рисунок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7200" cy="45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022800" cy="4510800"/>
            <wp:effectExtent l="0" t="0" r="0" b="4050"/>
            <wp:docPr id="12" name="Рисунок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22800" cy="451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56A1" w:rsidRDefault="00F356A1" w:rsidP="00F356A1">
      <w:pPr>
        <w:pStyle w:val="a3"/>
        <w:jc w:val="center"/>
        <w:rPr>
          <w:rFonts w:ascii="Times New Roman" w:eastAsia="Liberation Serif" w:hAnsi="Times New Roman" w:cs="Times New Roman"/>
          <w:b/>
          <w:sz w:val="28"/>
        </w:rPr>
      </w:pPr>
    </w:p>
    <w:p w:rsidR="00560B37" w:rsidRPr="00F356A1" w:rsidRDefault="005524C4" w:rsidP="00F356A1">
      <w:pPr>
        <w:pStyle w:val="a3"/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8. Оформление холла общеобразовательной организации,</w:t>
      </w:r>
      <w:r w:rsidRPr="00F356A1">
        <w:rPr>
          <w:rFonts w:ascii="Times New Roman" w:eastAsia="Liberation Serif" w:hAnsi="Times New Roman" w:cs="Times New Roman"/>
          <w:b/>
          <w:sz w:val="28"/>
        </w:rPr>
        <w:br/>
        <w:t>в котором размещается брендированный информационный стенд</w:t>
      </w:r>
    </w:p>
    <w:p w:rsidR="00560B37" w:rsidRPr="00F356A1" w:rsidRDefault="00560B37">
      <w:pPr>
        <w:pStyle w:val="a3"/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Обновление помещения холла (в том числе в части замены мебели) осуществляется при необходимости, соответственно, не является обязательным требованием в рамках данного типового проекта дизайна и зонирования.</w:t>
      </w:r>
    </w:p>
    <w:p w:rsidR="00560B37" w:rsidRPr="00F356A1" w:rsidRDefault="00560B37" w:rsidP="00F356A1">
      <w:pPr>
        <w:pStyle w:val="a3"/>
        <w:jc w:val="both"/>
        <w:rPr>
          <w:rFonts w:ascii="Times New Roman" w:hAnsi="Times New Roman" w:cs="Times New Roman"/>
        </w:rPr>
      </w:pPr>
    </w:p>
    <w:p w:rsidR="00560B37" w:rsidRPr="00F356A1" w:rsidRDefault="005524C4" w:rsidP="00F356A1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 холле рекомендуется размещение мебелидля самостоятельной работы обучающихся, занятий в неформальной обстановке и отдыха (диваны, пуфы), соответствующей колористическому решению лабораторий центра «Точка роста» (сочетание светлого-серого и пастельно-оранжевого цветов или сочетание светлого-серого исигнально фиолетового цветов).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 w:rsidP="00F356A1">
      <w:pPr>
        <w:jc w:val="center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Раздел 9.  Брендирование помещений центра «Точка роста»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Внутри каждого помещения центра «Точка роста» (за исключением лаборантской) размещается один фирменный знак «Точка роста» и одна информационная табличка (со знаком национального проекта «Образование» и гербом Министерства просвещения Российской Федерации).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Настенный фирменный знак «Точка роста», изготовленный в виде отдельных элементов – знака и букв, размещаемых на передней стене помещения слева или справа от учебной доски: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988800" cy="1348920"/>
            <wp:effectExtent l="0" t="0" r="0" b="3630"/>
            <wp:docPr id="13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88800" cy="134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настенного фирменного знака «Точка роста»: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длина 1200–1500 мм;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материал: 1 вариант – ПВХ (толщина 5-20 мм) с печатью и защитной ламинацией; 2 вариант – интерьерная наклейка или графика;</w:t>
      </w:r>
    </w:p>
    <w:p w:rsidR="00560B37" w:rsidRPr="00F356A1" w:rsidRDefault="005524C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Информационная табличка (со знаком национального проекта «Образование» и гербом Министерства просвещения Российской Федерации), размещаемая рядом с входной дверью: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3391200" cy="1802519"/>
            <wp:effectExtent l="0" t="0" r="0" b="7231"/>
            <wp:docPr id="14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91200" cy="1802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информационной таблички:</w:t>
      </w:r>
    </w:p>
    <w:p w:rsidR="00560B37" w:rsidRPr="00F356A1" w:rsidRDefault="005524C4">
      <w:pPr>
        <w:pStyle w:val="a3"/>
        <w:numPr>
          <w:ilvl w:val="0"/>
          <w:numId w:val="2"/>
        </w:numPr>
        <w:ind w:left="993" w:hanging="283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200x400 мм;</w:t>
      </w:r>
    </w:p>
    <w:p w:rsidR="00560B37" w:rsidRPr="00F356A1" w:rsidRDefault="005524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материал: ПВХ (толщина 3-5 мм) с печатью и защитной ламинацией;</w:t>
      </w:r>
    </w:p>
    <w:p w:rsidR="00560B37" w:rsidRPr="00F356A1" w:rsidRDefault="005524C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При входе в лаборатории центра «Точка роста» размещается навигационная табличка с полноцветным фирменным знаком «Точка роста» на белом фоне:</w:t>
      </w:r>
    </w:p>
    <w:p w:rsidR="00560B37" w:rsidRPr="00F356A1" w:rsidRDefault="005524C4">
      <w:pPr>
        <w:ind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636000" cy="1986480"/>
            <wp:effectExtent l="0" t="0" r="2550" b="0"/>
            <wp:docPr id="15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198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навигационной таблички:</w:t>
      </w:r>
    </w:p>
    <w:p w:rsidR="00560B37" w:rsidRPr="00F356A1" w:rsidRDefault="005524C4">
      <w:pPr>
        <w:pStyle w:val="a3"/>
        <w:numPr>
          <w:ilvl w:val="0"/>
          <w:numId w:val="3"/>
        </w:numPr>
        <w:tabs>
          <w:tab w:val="left" w:pos="992"/>
        </w:tabs>
        <w:ind w:left="0" w:firstLine="709"/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180x300 мм;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материал: ПВХ (толщина 3-5 мм) с печатью и защитной ламинацией;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крепления: на скрытых дистанционных держателях или вплотную к стене;</w:t>
      </w:r>
    </w:p>
    <w:p w:rsidR="00560B37" w:rsidRPr="00F356A1" w:rsidRDefault="005524C4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размещение: симметрично относительно двери основной навигации помещений.</w:t>
      </w:r>
    </w:p>
    <w:p w:rsidR="00560B37" w:rsidRPr="00F356A1" w:rsidRDefault="00560B37">
      <w:pPr>
        <w:rPr>
          <w:rFonts w:ascii="Times New Roman" w:hAnsi="Times New Roman" w:cs="Times New Roman"/>
        </w:rPr>
      </w:pP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b/>
          <w:sz w:val="28"/>
        </w:rPr>
        <w:t>В холле общеобразовательной организации размещается брендированный информационный стенд:</w:t>
      </w:r>
    </w:p>
    <w:p w:rsidR="00560B37" w:rsidRPr="00F356A1" w:rsidRDefault="005524C4">
      <w:pPr>
        <w:tabs>
          <w:tab w:val="left" w:pos="1457"/>
        </w:tabs>
        <w:rPr>
          <w:rFonts w:ascii="Times New Roman" w:hAnsi="Times New Roman" w:cs="Times New Roman"/>
        </w:rPr>
      </w:pPr>
      <w:r w:rsidRPr="00F356A1">
        <w:rPr>
          <w:rFonts w:ascii="Times New Roman" w:hAnsi="Times New Roman" w:cs="Times New Roman"/>
          <w:noProof/>
        </w:rPr>
        <w:drawing>
          <wp:inline distT="0" distB="0" distL="0" distR="0">
            <wp:extent cx="5122799" cy="3895200"/>
            <wp:effectExtent l="0" t="0" r="1651" b="0"/>
            <wp:docPr id="16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2799" cy="389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0B37" w:rsidRPr="00F356A1" w:rsidRDefault="005524C4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Технические характеристики информационного стенда:</w:t>
      </w:r>
    </w:p>
    <w:p w:rsidR="00560B37" w:rsidRPr="00F356A1" w:rsidRDefault="005524C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размер: 1200x900 мм;</w:t>
      </w:r>
    </w:p>
    <w:p w:rsidR="00560B37" w:rsidRPr="00B87ECF" w:rsidRDefault="005524C4" w:rsidP="002A1362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B87ECF">
        <w:rPr>
          <w:rFonts w:ascii="Times New Roman" w:eastAsia="Liberation Serif" w:hAnsi="Times New Roman" w:cs="Times New Roman"/>
          <w:sz w:val="28"/>
        </w:rPr>
        <w:t>материал: ПВХ (толщина 5-10 мм) с печатью и защитной ламинацией.</w:t>
      </w:r>
    </w:p>
    <w:p w:rsidR="00560B37" w:rsidRPr="00F356A1" w:rsidRDefault="005524C4" w:rsidP="00B87ECF">
      <w:pPr>
        <w:rPr>
          <w:rFonts w:ascii="Times New Roman" w:hAnsi="Times New Roman" w:cs="Times New Roman"/>
        </w:rPr>
      </w:pPr>
      <w:r w:rsidRPr="00F356A1">
        <w:rPr>
          <w:rFonts w:ascii="Times New Roman" w:eastAsia="Liberation Serif" w:hAnsi="Times New Roman" w:cs="Times New Roman"/>
          <w:sz w:val="28"/>
        </w:rPr>
        <w:t>Графические файлы, необходимые к использованию при брендировании помещений центра «Точка роста», размещены по ссылке:https:/</w:t>
      </w:r>
      <w:r w:rsidR="006C3763">
        <w:rPr>
          <w:rFonts w:ascii="Times New Roman" w:eastAsia="Liberation Serif" w:hAnsi="Times New Roman" w:cs="Times New Roman"/>
          <w:sz w:val="28"/>
        </w:rPr>
        <w:t>/disk.yandex.ru/d/zPSNABIQ4Vg9Y</w:t>
      </w:r>
    </w:p>
    <w:sectPr w:rsidR="00560B37" w:rsidRPr="00F356A1" w:rsidSect="00B87ECF">
      <w:pgSz w:w="11906" w:h="16838"/>
      <w:pgMar w:top="680" w:right="1418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2A1" w:rsidRDefault="00BC22A1">
      <w:r>
        <w:separator/>
      </w:r>
    </w:p>
  </w:endnote>
  <w:endnote w:type="continuationSeparator" w:id="1">
    <w:p w:rsidR="00BC22A1" w:rsidRDefault="00BC2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2A1" w:rsidRDefault="00BC22A1">
      <w:r>
        <w:separator/>
      </w:r>
    </w:p>
  </w:footnote>
  <w:footnote w:type="continuationSeparator" w:id="1">
    <w:p w:rsidR="00BC22A1" w:rsidRDefault="00BC22A1">
      <w:r>
        <w:continuationSeparator/>
      </w:r>
    </w:p>
  </w:footnote>
  <w:footnote w:id="2">
    <w:p w:rsidR="00560B37" w:rsidRDefault="005524C4">
      <w:pPr>
        <w:pStyle w:val="ac"/>
        <w:ind w:left="113" w:hanging="113"/>
      </w:pPr>
      <w:r>
        <w:rPr>
          <w:rStyle w:val="ad"/>
        </w:rPr>
        <w:footnoteRef/>
      </w:r>
      <w:r>
        <w:rPr>
          <w:rFonts w:ascii="Liberation Serif" w:eastAsia="Liberation Serif" w:hAnsi="Liberation Serif" w:cs="Liberation Serif"/>
          <w:sz w:val="28"/>
        </w:rPr>
        <w:t xml:space="preserve">В случае если в помещении лаборантской отсутствуют окна, то данное условие не выполняется.  </w:t>
      </w:r>
    </w:p>
  </w:footnote>
  <w:footnote w:id="3">
    <w:p w:rsidR="00560B37" w:rsidRDefault="005524C4">
      <w:pPr>
        <w:pStyle w:val="ac"/>
        <w:ind w:left="113" w:hanging="113"/>
      </w:pPr>
      <w:r>
        <w:rPr>
          <w:rStyle w:val="ad"/>
        </w:rPr>
        <w:footnoteRef/>
      </w:r>
      <w:r>
        <w:rPr>
          <w:rFonts w:ascii="Liberation Serif" w:eastAsia="Liberation Serif" w:hAnsi="Liberation Serif" w:cs="Liberation Serif"/>
          <w:sz w:val="28"/>
        </w:rPr>
        <w:t xml:space="preserve">В случае если в помещении лаборантской отсутствуют окна, то данное условие не выполняется.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7C92"/>
    <w:multiLevelType w:val="multilevel"/>
    <w:tmpl w:val="6C76700A"/>
    <w:styleLink w:val="WWNum3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1">
    <w:nsid w:val="268B4E1C"/>
    <w:multiLevelType w:val="multilevel"/>
    <w:tmpl w:val="BCF22424"/>
    <w:styleLink w:val="WWNum5"/>
    <w:lvl w:ilvl="0">
      <w:numFmt w:val="bullet"/>
      <w:pStyle w:val="3"/>
      <w:lvlText w:val="·"/>
      <w:lvlJc w:val="left"/>
    </w:lvl>
    <w:lvl w:ilvl="1">
      <w:numFmt w:val="bullet"/>
      <w:lvlText w:val="o"/>
      <w:lvlJc w:val="left"/>
    </w:lvl>
    <w:lvl w:ilvl="2">
      <w:numFmt w:val="bullet"/>
      <w:lvlText w:val="§"/>
      <w:lvlJc w:val="left"/>
    </w:lvl>
    <w:lvl w:ilvl="3">
      <w:numFmt w:val="bullet"/>
      <w:lvlText w:val="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§"/>
      <w:lvlJc w:val="left"/>
      <w:pPr>
        <w:ind w:left="4320" w:hanging="360"/>
      </w:pPr>
    </w:lvl>
    <w:lvl w:ilvl="6">
      <w:numFmt w:val="bullet"/>
      <w:lvlText w:val="·"/>
      <w:lvlJc w:val="left"/>
      <w:pPr>
        <w:ind w:left="5041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§"/>
      <w:lvlJc w:val="left"/>
      <w:pPr>
        <w:ind w:left="6480" w:hanging="360"/>
      </w:pPr>
    </w:lvl>
  </w:abstractNum>
  <w:abstractNum w:abstractNumId="2">
    <w:nsid w:val="4DDB0165"/>
    <w:multiLevelType w:val="multilevel"/>
    <w:tmpl w:val="48C86DB2"/>
    <w:styleLink w:val="WWNum1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3">
    <w:nsid w:val="5E1F1134"/>
    <w:multiLevelType w:val="multilevel"/>
    <w:tmpl w:val="54D4D5A8"/>
    <w:styleLink w:val="WWNum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abstractNum w:abstractNumId="4">
    <w:nsid w:val="698C6308"/>
    <w:multiLevelType w:val="multilevel"/>
    <w:tmpl w:val="D2629BD8"/>
    <w:styleLink w:val="WWNum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11" w:hanging="360"/>
      </w:pPr>
    </w:lvl>
    <w:lvl w:ilvl="8">
      <w:start w:val="1"/>
      <w:numFmt w:val="lowerRoman"/>
      <w:lvlText w:val="%9."/>
      <w:lvlJc w:val="left"/>
      <w:pPr>
        <w:ind w:left="683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B37"/>
    <w:rsid w:val="001412F4"/>
    <w:rsid w:val="004C78C6"/>
    <w:rsid w:val="004F2404"/>
    <w:rsid w:val="004F7044"/>
    <w:rsid w:val="005524C4"/>
    <w:rsid w:val="00560B37"/>
    <w:rsid w:val="006C3763"/>
    <w:rsid w:val="00744723"/>
    <w:rsid w:val="007D0659"/>
    <w:rsid w:val="008D0A55"/>
    <w:rsid w:val="00947E05"/>
    <w:rsid w:val="00B87ECF"/>
    <w:rsid w:val="00BC22A1"/>
    <w:rsid w:val="00C40BCC"/>
    <w:rsid w:val="00CE04F5"/>
    <w:rsid w:val="00D675BC"/>
    <w:rsid w:val="00E558A3"/>
    <w:rsid w:val="00F356A1"/>
    <w:rsid w:val="00F52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7044"/>
    <w:rPr>
      <w:sz w:val="24"/>
    </w:rPr>
  </w:style>
  <w:style w:type="paragraph" w:styleId="1">
    <w:name w:val="heading 1"/>
    <w:basedOn w:val="a"/>
    <w:rsid w:val="004F7044"/>
    <w:pPr>
      <w:outlineLvl w:val="0"/>
    </w:pPr>
    <w:rPr>
      <w:b/>
      <w:sz w:val="32"/>
    </w:rPr>
  </w:style>
  <w:style w:type="paragraph" w:styleId="2">
    <w:name w:val="heading 2"/>
    <w:basedOn w:val="a"/>
    <w:rsid w:val="004F7044"/>
    <w:pPr>
      <w:outlineLvl w:val="1"/>
    </w:pPr>
    <w:rPr>
      <w:b/>
      <w:sz w:val="20"/>
    </w:rPr>
  </w:style>
  <w:style w:type="paragraph" w:styleId="3">
    <w:name w:val="heading 3"/>
    <w:basedOn w:val="a"/>
    <w:rsid w:val="004F7044"/>
    <w:pPr>
      <w:numPr>
        <w:numId w:val="5"/>
      </w:numPr>
      <w:outlineLvl w:val="2"/>
    </w:pPr>
    <w:rPr>
      <w:b/>
      <w:sz w:val="26"/>
    </w:rPr>
  </w:style>
  <w:style w:type="paragraph" w:styleId="4">
    <w:name w:val="heading 4"/>
    <w:basedOn w:val="a"/>
    <w:rsid w:val="004F7044"/>
    <w:pPr>
      <w:outlineLvl w:val="3"/>
    </w:pPr>
    <w:rPr>
      <w:b/>
      <w:sz w:val="26"/>
    </w:rPr>
  </w:style>
  <w:style w:type="paragraph" w:styleId="5">
    <w:name w:val="heading 5"/>
    <w:basedOn w:val="a"/>
    <w:rsid w:val="004F7044"/>
    <w:pPr>
      <w:outlineLvl w:val="4"/>
    </w:pPr>
    <w:rPr>
      <w:b/>
    </w:rPr>
  </w:style>
  <w:style w:type="paragraph" w:styleId="6">
    <w:name w:val="heading 6"/>
    <w:basedOn w:val="a"/>
    <w:rsid w:val="004F7044"/>
    <w:pPr>
      <w:outlineLvl w:val="5"/>
    </w:pPr>
    <w:rPr>
      <w:b/>
      <w:sz w:val="22"/>
    </w:rPr>
  </w:style>
  <w:style w:type="paragraph" w:styleId="7">
    <w:name w:val="heading 7"/>
    <w:basedOn w:val="a"/>
    <w:rsid w:val="004F7044"/>
    <w:pPr>
      <w:outlineLvl w:val="6"/>
    </w:pPr>
    <w:rPr>
      <w:b/>
      <w:i/>
      <w:sz w:val="22"/>
    </w:rPr>
  </w:style>
  <w:style w:type="paragraph" w:styleId="8">
    <w:name w:val="heading 8"/>
    <w:basedOn w:val="a"/>
    <w:rsid w:val="004F7044"/>
    <w:pPr>
      <w:outlineLvl w:val="7"/>
    </w:pPr>
    <w:rPr>
      <w:i/>
      <w:sz w:val="22"/>
    </w:rPr>
  </w:style>
  <w:style w:type="paragraph" w:styleId="9">
    <w:name w:val="heading 9"/>
    <w:basedOn w:val="a"/>
    <w:rsid w:val="004F7044"/>
    <w:pPr>
      <w:outlineLvl w:val="8"/>
    </w:pPr>
    <w:rPr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sid w:val="004F7044"/>
    <w:rPr>
      <w:rFonts w:ascii="Arial" w:eastAsia="Arial" w:hAnsi="Arial" w:cs="Arial"/>
      <w:sz w:val="40"/>
    </w:rPr>
  </w:style>
  <w:style w:type="character" w:customStyle="1" w:styleId="Heading2Char">
    <w:name w:val="Heading 2 Char"/>
    <w:rsid w:val="004F7044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4F7044"/>
    <w:rPr>
      <w:rFonts w:ascii="Arial" w:eastAsia="Arial" w:hAnsi="Arial" w:cs="Arial"/>
      <w:sz w:val="30"/>
    </w:rPr>
  </w:style>
  <w:style w:type="character" w:customStyle="1" w:styleId="Heading4Char">
    <w:name w:val="Heading 4 Char"/>
    <w:rsid w:val="004F7044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sid w:val="004F7044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sid w:val="004F7044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sid w:val="004F7044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sid w:val="004F7044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sid w:val="004F7044"/>
    <w:rPr>
      <w:rFonts w:ascii="Arial" w:eastAsia="Arial" w:hAnsi="Arial" w:cs="Arial"/>
      <w:i/>
      <w:sz w:val="21"/>
    </w:rPr>
  </w:style>
  <w:style w:type="paragraph" w:styleId="a3">
    <w:name w:val="List Paragraph"/>
    <w:basedOn w:val="a"/>
    <w:rsid w:val="004F7044"/>
    <w:rPr>
      <w:sz w:val="20"/>
    </w:rPr>
  </w:style>
  <w:style w:type="paragraph" w:styleId="a4">
    <w:name w:val="No Spacing"/>
    <w:rsid w:val="004F7044"/>
  </w:style>
  <w:style w:type="paragraph" w:styleId="a5">
    <w:name w:val="Title"/>
    <w:basedOn w:val="a"/>
    <w:rsid w:val="004F7044"/>
    <w:rPr>
      <w:sz w:val="48"/>
    </w:rPr>
  </w:style>
  <w:style w:type="character" w:customStyle="1" w:styleId="TitleChar">
    <w:name w:val="Title Char"/>
    <w:rsid w:val="004F7044"/>
    <w:rPr>
      <w:sz w:val="48"/>
    </w:rPr>
  </w:style>
  <w:style w:type="paragraph" w:styleId="a6">
    <w:name w:val="Subtitle"/>
    <w:basedOn w:val="a"/>
    <w:rsid w:val="004F7044"/>
  </w:style>
  <w:style w:type="character" w:customStyle="1" w:styleId="SubtitleChar">
    <w:name w:val="Subtitle Char"/>
    <w:rsid w:val="004F7044"/>
    <w:rPr>
      <w:sz w:val="24"/>
    </w:rPr>
  </w:style>
  <w:style w:type="paragraph" w:styleId="20">
    <w:name w:val="Quote"/>
    <w:basedOn w:val="a"/>
    <w:rsid w:val="004F7044"/>
    <w:rPr>
      <w:i/>
    </w:rPr>
  </w:style>
  <w:style w:type="character" w:customStyle="1" w:styleId="QuoteChar">
    <w:name w:val="Quote Char"/>
    <w:rsid w:val="004F7044"/>
    <w:rPr>
      <w:i/>
    </w:rPr>
  </w:style>
  <w:style w:type="paragraph" w:styleId="a7">
    <w:name w:val="Intense Quote"/>
    <w:basedOn w:val="a"/>
    <w:rsid w:val="004F7044"/>
    <w:rPr>
      <w:i/>
    </w:rPr>
  </w:style>
  <w:style w:type="character" w:customStyle="1" w:styleId="IntenseQuoteChar">
    <w:name w:val="Intense Quote Char"/>
    <w:rsid w:val="004F7044"/>
    <w:rPr>
      <w:i/>
    </w:rPr>
  </w:style>
  <w:style w:type="paragraph" w:styleId="a8">
    <w:name w:val="header"/>
    <w:basedOn w:val="a"/>
    <w:rsid w:val="004F7044"/>
    <w:pPr>
      <w:tabs>
        <w:tab w:val="center" w:pos="4676"/>
        <w:tab w:val="right" w:pos="9354"/>
      </w:tabs>
    </w:pPr>
  </w:style>
  <w:style w:type="character" w:customStyle="1" w:styleId="HeaderChar">
    <w:name w:val="Header Char"/>
    <w:rsid w:val="004F7044"/>
  </w:style>
  <w:style w:type="paragraph" w:styleId="a9">
    <w:name w:val="footer"/>
    <w:basedOn w:val="a"/>
    <w:rsid w:val="004F7044"/>
    <w:pPr>
      <w:tabs>
        <w:tab w:val="center" w:pos="4676"/>
        <w:tab w:val="right" w:pos="9354"/>
      </w:tabs>
    </w:pPr>
  </w:style>
  <w:style w:type="character" w:customStyle="1" w:styleId="FooterChar">
    <w:name w:val="Footer Char"/>
    <w:rsid w:val="004F7044"/>
  </w:style>
  <w:style w:type="paragraph" w:styleId="aa">
    <w:name w:val="caption"/>
    <w:basedOn w:val="a"/>
    <w:rsid w:val="004F7044"/>
    <w:rPr>
      <w:b/>
      <w:color w:val="4F81BD"/>
      <w:sz w:val="18"/>
    </w:rPr>
  </w:style>
  <w:style w:type="character" w:customStyle="1" w:styleId="CaptionChar">
    <w:name w:val="Caption Char"/>
    <w:rsid w:val="004F7044"/>
  </w:style>
  <w:style w:type="character" w:styleId="ab">
    <w:name w:val="Hyperlink"/>
    <w:rsid w:val="004F7044"/>
    <w:rPr>
      <w:color w:val="0563C1"/>
      <w:u w:val="single"/>
    </w:rPr>
  </w:style>
  <w:style w:type="character" w:customStyle="1" w:styleId="Internetlink">
    <w:name w:val="Internet link"/>
    <w:rsid w:val="004F7044"/>
    <w:rPr>
      <w:color w:val="0000FF"/>
      <w:u w:val="single"/>
    </w:rPr>
  </w:style>
  <w:style w:type="paragraph" w:styleId="ac">
    <w:name w:val="footnote text"/>
    <w:basedOn w:val="a"/>
    <w:rsid w:val="004F7044"/>
    <w:rPr>
      <w:sz w:val="20"/>
    </w:rPr>
  </w:style>
  <w:style w:type="character" w:customStyle="1" w:styleId="FootnoteTextChar">
    <w:name w:val="Footnote Text Char"/>
    <w:rsid w:val="004F7044"/>
    <w:rPr>
      <w:sz w:val="18"/>
    </w:rPr>
  </w:style>
  <w:style w:type="character" w:styleId="ad">
    <w:name w:val="footnote reference"/>
    <w:rsid w:val="004F7044"/>
    <w:rPr>
      <w:position w:val="7"/>
      <w:vertAlign w:val="baseline"/>
    </w:rPr>
  </w:style>
  <w:style w:type="paragraph" w:styleId="ae">
    <w:name w:val="endnote text"/>
    <w:basedOn w:val="a"/>
    <w:rsid w:val="004F7044"/>
    <w:rPr>
      <w:sz w:val="20"/>
    </w:rPr>
  </w:style>
  <w:style w:type="character" w:customStyle="1" w:styleId="EndnoteTextChar">
    <w:name w:val="Endnote Text Char"/>
    <w:rsid w:val="004F7044"/>
    <w:rPr>
      <w:sz w:val="20"/>
    </w:rPr>
  </w:style>
  <w:style w:type="character" w:styleId="af">
    <w:name w:val="endnote reference"/>
    <w:rsid w:val="004F7044"/>
    <w:rPr>
      <w:position w:val="7"/>
      <w:vertAlign w:val="baseline"/>
    </w:rPr>
  </w:style>
  <w:style w:type="paragraph" w:styleId="10">
    <w:name w:val="toc 1"/>
    <w:basedOn w:val="a"/>
    <w:rsid w:val="004F7044"/>
    <w:pPr>
      <w:spacing w:after="57"/>
    </w:pPr>
  </w:style>
  <w:style w:type="paragraph" w:styleId="21">
    <w:name w:val="toc 2"/>
    <w:basedOn w:val="a"/>
    <w:rsid w:val="004F7044"/>
    <w:pPr>
      <w:spacing w:after="57"/>
      <w:ind w:left="283"/>
    </w:pPr>
  </w:style>
  <w:style w:type="paragraph" w:styleId="30">
    <w:name w:val="toc 3"/>
    <w:basedOn w:val="a"/>
    <w:rsid w:val="004F7044"/>
    <w:pPr>
      <w:spacing w:after="57"/>
      <w:ind w:left="567"/>
    </w:pPr>
  </w:style>
  <w:style w:type="paragraph" w:styleId="40">
    <w:name w:val="toc 4"/>
    <w:basedOn w:val="a"/>
    <w:rsid w:val="004F7044"/>
    <w:pPr>
      <w:spacing w:after="57"/>
      <w:ind w:left="850"/>
    </w:pPr>
  </w:style>
  <w:style w:type="paragraph" w:styleId="50">
    <w:name w:val="toc 5"/>
    <w:basedOn w:val="a"/>
    <w:rsid w:val="004F7044"/>
    <w:pPr>
      <w:spacing w:after="57"/>
      <w:ind w:left="1134"/>
    </w:pPr>
  </w:style>
  <w:style w:type="paragraph" w:styleId="60">
    <w:name w:val="toc 6"/>
    <w:basedOn w:val="a"/>
    <w:rsid w:val="004F7044"/>
    <w:pPr>
      <w:spacing w:after="57"/>
      <w:ind w:left="1417"/>
    </w:pPr>
  </w:style>
  <w:style w:type="paragraph" w:styleId="70">
    <w:name w:val="toc 7"/>
    <w:basedOn w:val="a"/>
    <w:rsid w:val="004F7044"/>
    <w:pPr>
      <w:spacing w:after="57"/>
      <w:ind w:left="1701"/>
    </w:pPr>
  </w:style>
  <w:style w:type="paragraph" w:styleId="80">
    <w:name w:val="toc 8"/>
    <w:basedOn w:val="a"/>
    <w:rsid w:val="004F7044"/>
    <w:pPr>
      <w:spacing w:after="57"/>
      <w:ind w:left="1984"/>
    </w:pPr>
  </w:style>
  <w:style w:type="paragraph" w:styleId="90">
    <w:name w:val="toc 9"/>
    <w:basedOn w:val="a"/>
    <w:rsid w:val="004F7044"/>
    <w:pPr>
      <w:spacing w:after="57"/>
      <w:ind w:left="2268"/>
    </w:pPr>
  </w:style>
  <w:style w:type="paragraph" w:styleId="af0">
    <w:name w:val="TOC Heading"/>
    <w:rsid w:val="004F7044"/>
  </w:style>
  <w:style w:type="paragraph" w:styleId="af1">
    <w:name w:val="Balloon Text"/>
    <w:basedOn w:val="a"/>
    <w:rsid w:val="004F7044"/>
    <w:rPr>
      <w:rFonts w:ascii="Tahoma" w:eastAsia="Tahoma" w:hAnsi="Tahoma" w:cs="Tahoma"/>
      <w:sz w:val="16"/>
    </w:rPr>
  </w:style>
  <w:style w:type="paragraph" w:styleId="af2">
    <w:name w:val="Plain Text"/>
    <w:basedOn w:val="a"/>
    <w:rsid w:val="004F7044"/>
    <w:rPr>
      <w:rFonts w:ascii="Courier New" w:eastAsia="Courier New" w:hAnsi="Courier New" w:cs="Courier New"/>
      <w:sz w:val="20"/>
    </w:rPr>
  </w:style>
  <w:style w:type="character" w:customStyle="1" w:styleId="af3">
    <w:name w:val="Текст Знак"/>
    <w:rsid w:val="004F7044"/>
    <w:rPr>
      <w:rFonts w:ascii="Courier New" w:eastAsia="Courier New" w:hAnsi="Courier New" w:cs="Courier New"/>
    </w:rPr>
  </w:style>
  <w:style w:type="paragraph" w:customStyle="1" w:styleId="af4">
    <w:name w:val="Прижатый влево"/>
    <w:basedOn w:val="a"/>
    <w:rsid w:val="004F7044"/>
    <w:rPr>
      <w:sz w:val="20"/>
    </w:rPr>
  </w:style>
  <w:style w:type="character" w:customStyle="1" w:styleId="11">
    <w:name w:val="Заголовок 1 Знак"/>
    <w:rsid w:val="004F7044"/>
    <w:rPr>
      <w:rFonts w:ascii="Arial" w:eastAsia="Arial" w:hAnsi="Arial" w:cs="Arial"/>
      <w:b/>
      <w:sz w:val="32"/>
    </w:rPr>
  </w:style>
  <w:style w:type="character" w:customStyle="1" w:styleId="af5">
    <w:name w:val="Верхний колонтитул Знак"/>
    <w:rsid w:val="004F7044"/>
    <w:rPr>
      <w:sz w:val="24"/>
    </w:rPr>
  </w:style>
  <w:style w:type="character" w:customStyle="1" w:styleId="af6">
    <w:name w:val="Нижний колонтитул Знак"/>
    <w:rsid w:val="004F7044"/>
    <w:rPr>
      <w:sz w:val="24"/>
    </w:rPr>
  </w:style>
  <w:style w:type="character" w:customStyle="1" w:styleId="af7">
    <w:name w:val="Текст сноски Знак"/>
    <w:basedOn w:val="a0"/>
    <w:rsid w:val="004F7044"/>
  </w:style>
  <w:style w:type="character" w:styleId="af8">
    <w:name w:val="Strong"/>
    <w:rsid w:val="004F7044"/>
    <w:rPr>
      <w:b/>
    </w:rPr>
  </w:style>
  <w:style w:type="paragraph" w:styleId="af9">
    <w:name w:val="Normal (Web)"/>
    <w:basedOn w:val="a"/>
    <w:rsid w:val="004F7044"/>
    <w:pPr>
      <w:spacing w:before="100" w:after="100"/>
    </w:pPr>
  </w:style>
  <w:style w:type="character" w:styleId="afa">
    <w:name w:val="Emphasis"/>
    <w:rsid w:val="004F7044"/>
    <w:rPr>
      <w:i/>
    </w:rPr>
  </w:style>
  <w:style w:type="character" w:customStyle="1" w:styleId="locality">
    <w:name w:val="locality"/>
    <w:rsid w:val="004F7044"/>
  </w:style>
  <w:style w:type="character" w:customStyle="1" w:styleId="street-address">
    <w:name w:val="street-address"/>
    <w:rsid w:val="004F7044"/>
  </w:style>
  <w:style w:type="character" w:styleId="afb">
    <w:name w:val="annotation reference"/>
    <w:rsid w:val="004F7044"/>
    <w:rPr>
      <w:sz w:val="16"/>
    </w:rPr>
  </w:style>
  <w:style w:type="paragraph" w:styleId="afc">
    <w:name w:val="annotation text"/>
    <w:basedOn w:val="a"/>
    <w:rsid w:val="004F7044"/>
    <w:rPr>
      <w:sz w:val="20"/>
    </w:rPr>
  </w:style>
  <w:style w:type="character" w:customStyle="1" w:styleId="afd">
    <w:name w:val="Текст примечания Знак"/>
    <w:basedOn w:val="a0"/>
    <w:rsid w:val="004F7044"/>
  </w:style>
  <w:style w:type="paragraph" w:styleId="afe">
    <w:name w:val="annotation subject"/>
    <w:basedOn w:val="afc"/>
    <w:rsid w:val="004F7044"/>
    <w:rPr>
      <w:b/>
    </w:rPr>
  </w:style>
  <w:style w:type="character" w:customStyle="1" w:styleId="aff">
    <w:name w:val="Тема примечания Знак"/>
    <w:rsid w:val="004F7044"/>
    <w:rPr>
      <w:b/>
    </w:rPr>
  </w:style>
  <w:style w:type="character" w:customStyle="1" w:styleId="22">
    <w:name w:val="Заголовок 2 Знак"/>
    <w:basedOn w:val="a0"/>
    <w:rsid w:val="004F7044"/>
    <w:rPr>
      <w:b/>
      <w:sz w:val="24"/>
    </w:rPr>
  </w:style>
  <w:style w:type="character" w:customStyle="1" w:styleId="31">
    <w:name w:val="Заголовок 3 Знак"/>
    <w:basedOn w:val="a0"/>
    <w:rsid w:val="004F7044"/>
    <w:rPr>
      <w:rFonts w:ascii="Arial" w:eastAsia="Arial" w:hAnsi="Arial" w:cs="Arial"/>
      <w:b/>
      <w:sz w:val="26"/>
    </w:rPr>
  </w:style>
  <w:style w:type="paragraph" w:customStyle="1" w:styleId="Standard">
    <w:name w:val="Standard"/>
    <w:basedOn w:val="a"/>
    <w:rsid w:val="004F7044"/>
  </w:style>
  <w:style w:type="paragraph" w:customStyle="1" w:styleId="Heading">
    <w:name w:val="Heading"/>
    <w:basedOn w:val="Standard"/>
    <w:rsid w:val="004F7044"/>
    <w:rPr>
      <w:rFonts w:ascii="Liberation Sans" w:eastAsia="Liberation Sans" w:hAnsi="Liberation Sans" w:cs="Liberation Sans"/>
      <w:sz w:val="28"/>
    </w:rPr>
  </w:style>
  <w:style w:type="paragraph" w:customStyle="1" w:styleId="Textbody">
    <w:name w:val="Text body"/>
    <w:basedOn w:val="a"/>
    <w:rsid w:val="004F7044"/>
    <w:rPr>
      <w:sz w:val="20"/>
    </w:rPr>
  </w:style>
  <w:style w:type="paragraph" w:customStyle="1" w:styleId="HeaderandFooter">
    <w:name w:val="Header and Footer"/>
    <w:basedOn w:val="Standard"/>
    <w:rsid w:val="004F7044"/>
    <w:pPr>
      <w:tabs>
        <w:tab w:val="center" w:pos="4818"/>
        <w:tab w:val="right" w:pos="9638"/>
      </w:tabs>
    </w:pPr>
  </w:style>
  <w:style w:type="paragraph" w:customStyle="1" w:styleId="12">
    <w:name w:val="заголовок 1"/>
    <w:basedOn w:val="a"/>
    <w:rsid w:val="004F7044"/>
    <w:rPr>
      <w:b/>
      <w:sz w:val="28"/>
    </w:rPr>
  </w:style>
  <w:style w:type="paragraph" w:customStyle="1" w:styleId="ConsPlusNormal">
    <w:name w:val="ConsPlusNormal"/>
    <w:basedOn w:val="a"/>
    <w:rsid w:val="004F7044"/>
  </w:style>
  <w:style w:type="paragraph" w:customStyle="1" w:styleId="ConsPlusNonformat">
    <w:name w:val="ConsPlusNonformat"/>
    <w:basedOn w:val="a"/>
    <w:rsid w:val="004F7044"/>
    <w:rPr>
      <w:rFonts w:ascii="Courier New" w:eastAsia="Courier New" w:hAnsi="Courier New" w:cs="Courier New"/>
    </w:rPr>
  </w:style>
  <w:style w:type="character" w:customStyle="1" w:styleId="aff0">
    <w:name w:val="Текст концевой сноски Знак"/>
    <w:basedOn w:val="a0"/>
    <w:rsid w:val="004F7044"/>
  </w:style>
  <w:style w:type="character" w:customStyle="1" w:styleId="aff1">
    <w:name w:val="Текст выноски Знак"/>
    <w:basedOn w:val="a0"/>
    <w:rsid w:val="004F7044"/>
    <w:rPr>
      <w:rFonts w:ascii="Tahoma" w:eastAsia="Tahoma" w:hAnsi="Tahoma" w:cs="Tahoma"/>
      <w:sz w:val="16"/>
    </w:rPr>
  </w:style>
  <w:style w:type="paragraph" w:styleId="aff2">
    <w:name w:val="Document Map"/>
    <w:basedOn w:val="a"/>
    <w:rsid w:val="004F7044"/>
    <w:rPr>
      <w:rFonts w:ascii="Tahoma" w:eastAsia="Tahoma" w:hAnsi="Tahoma" w:cs="Tahoma"/>
      <w:sz w:val="20"/>
    </w:rPr>
  </w:style>
  <w:style w:type="character" w:customStyle="1" w:styleId="aff3">
    <w:name w:val="Схема документа Знак"/>
    <w:basedOn w:val="a0"/>
    <w:rsid w:val="004F7044"/>
    <w:rPr>
      <w:rFonts w:ascii="Tahoma" w:eastAsia="Tahoma" w:hAnsi="Tahoma" w:cs="Tahoma"/>
      <w:shd w:val="clear" w:color="auto" w:fill="000080"/>
    </w:rPr>
  </w:style>
  <w:style w:type="paragraph" w:customStyle="1" w:styleId="ConsPlusTitle">
    <w:name w:val="ConsPlusTitle"/>
    <w:basedOn w:val="a"/>
    <w:rsid w:val="004F7044"/>
    <w:rPr>
      <w:b/>
      <w:sz w:val="28"/>
    </w:rPr>
  </w:style>
  <w:style w:type="paragraph" w:customStyle="1" w:styleId="aff4">
    <w:name w:val="Знак"/>
    <w:basedOn w:val="a"/>
    <w:rsid w:val="004F7044"/>
    <w:rPr>
      <w:rFonts w:ascii="Verdana" w:eastAsia="Verdana" w:hAnsi="Verdana" w:cs="Verdana"/>
      <w:sz w:val="20"/>
    </w:rPr>
  </w:style>
  <w:style w:type="paragraph" w:customStyle="1" w:styleId="TableContents">
    <w:name w:val="Table Contents"/>
    <w:basedOn w:val="Standard"/>
    <w:rsid w:val="004F7044"/>
  </w:style>
  <w:style w:type="paragraph" w:customStyle="1" w:styleId="Footnote">
    <w:name w:val="Footnote"/>
    <w:basedOn w:val="Standard"/>
    <w:rsid w:val="004F7044"/>
    <w:pPr>
      <w:ind w:left="339" w:hanging="338"/>
    </w:pPr>
  </w:style>
  <w:style w:type="paragraph" w:customStyle="1" w:styleId="TableHeading">
    <w:name w:val="Table Heading"/>
    <w:basedOn w:val="TableContents"/>
    <w:rsid w:val="004F7044"/>
    <w:rPr>
      <w:b/>
    </w:rPr>
  </w:style>
  <w:style w:type="paragraph" w:customStyle="1" w:styleId="13">
    <w:name w:val="Обычная таблица1"/>
    <w:basedOn w:val="a"/>
    <w:rsid w:val="004F7044"/>
  </w:style>
  <w:style w:type="paragraph" w:customStyle="1" w:styleId="23">
    <w:name w:val="Обычная таблица2"/>
    <w:basedOn w:val="a"/>
    <w:rsid w:val="004F7044"/>
    <w:rPr>
      <w:rFonts w:ascii="Calibri" w:eastAsia="Calibri" w:hAnsi="Calibri" w:cs="Calibri"/>
      <w:sz w:val="22"/>
    </w:rPr>
  </w:style>
  <w:style w:type="character" w:styleId="aff5">
    <w:name w:val="page number"/>
    <w:basedOn w:val="a0"/>
    <w:rsid w:val="004F7044"/>
  </w:style>
  <w:style w:type="character" w:customStyle="1" w:styleId="defaultdocbaseattributestylewithoutnowrap1">
    <w:name w:val="defaultdocbaseattributestylewithoutnowrap1"/>
    <w:rsid w:val="004F7044"/>
    <w:rPr>
      <w:rFonts w:ascii="Tahoma" w:eastAsia="Tahoma" w:hAnsi="Tahoma" w:cs="Tahoma"/>
      <w:sz w:val="18"/>
    </w:rPr>
  </w:style>
  <w:style w:type="character" w:customStyle="1" w:styleId="aff6">
    <w:name w:val="Основной текст Знак"/>
    <w:basedOn w:val="a0"/>
    <w:rsid w:val="004F7044"/>
  </w:style>
  <w:style w:type="character" w:customStyle="1" w:styleId="Footnoteanchor">
    <w:name w:val="Footnote anchor"/>
    <w:rsid w:val="004F7044"/>
    <w:rPr>
      <w:position w:val="7"/>
      <w:vertAlign w:val="baseline"/>
    </w:rPr>
  </w:style>
  <w:style w:type="character" w:customStyle="1" w:styleId="FootnoteSymbol">
    <w:name w:val="Footnote Symbol"/>
    <w:rsid w:val="004F7044"/>
  </w:style>
  <w:style w:type="character" w:customStyle="1" w:styleId="Endnoteanchor">
    <w:name w:val="Endnote anchor"/>
    <w:rsid w:val="004F7044"/>
    <w:rPr>
      <w:position w:val="7"/>
      <w:vertAlign w:val="baseline"/>
    </w:rPr>
  </w:style>
  <w:style w:type="character" w:customStyle="1" w:styleId="EndnoteSymbol">
    <w:name w:val="Endnote Symbol"/>
    <w:rsid w:val="004F7044"/>
  </w:style>
  <w:style w:type="paragraph" w:customStyle="1" w:styleId="Pa0">
    <w:name w:val="Pa0"/>
    <w:basedOn w:val="a"/>
    <w:rsid w:val="004F7044"/>
    <w:rPr>
      <w:rFonts w:ascii="Open Sans" w:eastAsia="Open Sans" w:hAnsi="Open Sans" w:cs="Open Sans"/>
    </w:rPr>
  </w:style>
  <w:style w:type="paragraph" w:styleId="aff7">
    <w:name w:val="Body Text"/>
    <w:basedOn w:val="a"/>
    <w:rsid w:val="004F7044"/>
    <w:rPr>
      <w:sz w:val="20"/>
    </w:rPr>
  </w:style>
  <w:style w:type="character" w:customStyle="1" w:styleId="14">
    <w:name w:val="Основной текст Знак1"/>
    <w:basedOn w:val="a0"/>
    <w:rsid w:val="004F7044"/>
    <w:rPr>
      <w:sz w:val="24"/>
    </w:rPr>
  </w:style>
  <w:style w:type="paragraph" w:customStyle="1" w:styleId="TableParagraph">
    <w:name w:val="Table Paragraph"/>
    <w:basedOn w:val="a"/>
    <w:rsid w:val="004F7044"/>
    <w:rPr>
      <w:rFonts w:ascii="Trebuchet MS" w:eastAsia="Trebuchet MS" w:hAnsi="Trebuchet MS" w:cs="Trebuchet MS"/>
      <w:sz w:val="22"/>
    </w:rPr>
  </w:style>
  <w:style w:type="character" w:customStyle="1" w:styleId="T1">
    <w:name w:val="T1"/>
    <w:rsid w:val="004F7044"/>
    <w:rPr>
      <w:rFonts w:ascii="Symbol" w:eastAsia="Symbol" w:hAnsi="Symbol" w:cs="Symbol"/>
    </w:rPr>
  </w:style>
  <w:style w:type="character" w:customStyle="1" w:styleId="T2">
    <w:name w:val="T2"/>
    <w:rsid w:val="004F7044"/>
    <w:rPr>
      <w:rFonts w:ascii="Courier New" w:eastAsia="Courier New" w:hAnsi="Courier New" w:cs="Courier New"/>
    </w:rPr>
  </w:style>
  <w:style w:type="character" w:customStyle="1" w:styleId="T3">
    <w:name w:val="T3"/>
    <w:rsid w:val="004F7044"/>
    <w:rPr>
      <w:rFonts w:ascii="Wingdings" w:eastAsia="Wingdings" w:hAnsi="Wingdings" w:cs="Wingdings"/>
    </w:rPr>
  </w:style>
  <w:style w:type="character" w:customStyle="1" w:styleId="T4">
    <w:name w:val="T4"/>
    <w:rsid w:val="004F7044"/>
    <w:rPr>
      <w:rFonts w:ascii="Symbol" w:eastAsia="Symbol" w:hAnsi="Symbol" w:cs="Symbol"/>
    </w:rPr>
  </w:style>
  <w:style w:type="character" w:customStyle="1" w:styleId="T5">
    <w:name w:val="T5"/>
    <w:rsid w:val="004F7044"/>
    <w:rPr>
      <w:rFonts w:ascii="Courier New" w:eastAsia="Courier New" w:hAnsi="Courier New" w:cs="Courier New"/>
    </w:rPr>
  </w:style>
  <w:style w:type="character" w:customStyle="1" w:styleId="T6">
    <w:name w:val="T6"/>
    <w:rsid w:val="004F7044"/>
    <w:rPr>
      <w:rFonts w:ascii="Wingdings" w:eastAsia="Wingdings" w:hAnsi="Wingdings" w:cs="Wingdings"/>
    </w:rPr>
  </w:style>
  <w:style w:type="numbering" w:customStyle="1" w:styleId="WWNum1">
    <w:name w:val="WWNum1"/>
    <w:basedOn w:val="a2"/>
    <w:rsid w:val="004F7044"/>
    <w:pPr>
      <w:numPr>
        <w:numId w:val="1"/>
      </w:numPr>
    </w:pPr>
  </w:style>
  <w:style w:type="numbering" w:customStyle="1" w:styleId="WWNum2">
    <w:name w:val="WWNum2"/>
    <w:basedOn w:val="a2"/>
    <w:rsid w:val="004F7044"/>
    <w:pPr>
      <w:numPr>
        <w:numId w:val="2"/>
      </w:numPr>
    </w:pPr>
  </w:style>
  <w:style w:type="numbering" w:customStyle="1" w:styleId="WWNum3">
    <w:name w:val="WWNum3"/>
    <w:basedOn w:val="a2"/>
    <w:rsid w:val="004F7044"/>
    <w:pPr>
      <w:numPr>
        <w:numId w:val="3"/>
      </w:numPr>
    </w:pPr>
  </w:style>
  <w:style w:type="numbering" w:customStyle="1" w:styleId="WWNum4">
    <w:name w:val="WWNum4"/>
    <w:basedOn w:val="a2"/>
    <w:rsid w:val="004F7044"/>
    <w:pPr>
      <w:numPr>
        <w:numId w:val="4"/>
      </w:numPr>
    </w:pPr>
  </w:style>
  <w:style w:type="numbering" w:customStyle="1" w:styleId="WWNum5">
    <w:name w:val="WWNum5"/>
    <w:basedOn w:val="a2"/>
    <w:rsid w:val="004F7044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КН</dc:creator>
  <cp:lastModifiedBy>1</cp:lastModifiedBy>
  <cp:revision>2</cp:revision>
  <cp:lastPrinted>2023-01-20T03:45:00Z</cp:lastPrinted>
  <dcterms:created xsi:type="dcterms:W3CDTF">2024-10-15T05:07:00Z</dcterms:created>
  <dcterms:modified xsi:type="dcterms:W3CDTF">2024-10-15T05:07:00Z</dcterms:modified>
</cp:coreProperties>
</file>